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color w:val="222222"/>
          <w:kern w:val="0"/>
          <w:sz w:val="32"/>
          <w:szCs w:val="32"/>
        </w:rPr>
      </w:pPr>
      <w:r>
        <w:rPr>
          <w:rFonts w:hint="eastAsia" w:ascii="方正小标宋简体" w:hAnsi="宋体" w:eastAsia="方正小标宋简体" w:cs="宋体"/>
          <w:color w:val="222222"/>
          <w:kern w:val="0"/>
          <w:sz w:val="32"/>
          <w:szCs w:val="32"/>
        </w:rPr>
        <w:t>广东省结核病控制中心2022年散装抗结核病药品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华文中宋" w:hAnsi="华文中宋" w:eastAsia="华文中宋" w:cs="微软雅黑"/>
          <w:color w:val="000000" w:themeColor="text1"/>
          <w:sz w:val="28"/>
          <w:szCs w:val="28"/>
          <w14:textFill>
            <w14:solidFill>
              <w14:schemeClr w14:val="tx1"/>
            </w14:solidFill>
          </w14:textFill>
        </w:rPr>
      </w:pPr>
      <w:r>
        <w:rPr>
          <w:rFonts w:hint="eastAsia" w:ascii="方正小标宋简体" w:hAnsi="宋体" w:eastAsia="方正小标宋简体" w:cs="宋体"/>
          <w:color w:val="222222"/>
          <w:kern w:val="0"/>
          <w:sz w:val="32"/>
          <w:szCs w:val="32"/>
        </w:rPr>
        <w:t>采购项目</w:t>
      </w:r>
      <w:r>
        <w:rPr>
          <w:rFonts w:hint="eastAsia" w:ascii="方正小标宋简体" w:hAnsi="华文中宋" w:eastAsia="方正小标宋简体" w:cs="微软雅黑"/>
          <w:color w:val="000000" w:themeColor="text1"/>
          <w:sz w:val="28"/>
          <w:szCs w:val="28"/>
          <w14:textFill>
            <w14:solidFill>
              <w14:schemeClr w14:val="tx1"/>
            </w14:solidFill>
          </w14:textFill>
        </w:rPr>
        <w:t>需求</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黑体" w:hAnsi="黑体" w:eastAsia="黑体" w:cs="黑体"/>
          <w:b/>
          <w:bCs/>
          <w:sz w:val="28"/>
          <w:szCs w:val="28"/>
        </w:rPr>
      </w:pPr>
      <w:bookmarkStart w:id="0" w:name="_Toc6192"/>
      <w:bookmarkStart w:id="1" w:name="_Toc11007"/>
      <w:bookmarkStart w:id="2" w:name="_Toc22540"/>
      <w:bookmarkStart w:id="3" w:name="_Toc1487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采购内容和数量</w:t>
      </w:r>
    </w:p>
    <w:tbl>
      <w:tblPr>
        <w:tblStyle w:val="8"/>
        <w:tblpPr w:leftFromText="180" w:rightFromText="180" w:vertAnchor="text" w:horzAnchor="page" w:tblpX="1812" w:tblpY="454"/>
        <w:tblOverlap w:val="never"/>
        <w:tblW w:w="650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5"/>
        <w:gridCol w:w="1658"/>
        <w:gridCol w:w="1035"/>
        <w:gridCol w:w="1020"/>
        <w:gridCol w:w="18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5" w:type="dxa"/>
            <w:tcBorders>
              <w:top w:val="single" w:color="auto" w:sz="6" w:space="0"/>
              <w:left w:val="single" w:color="auto" w:sz="4"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rPr>
            </w:pPr>
            <w:r>
              <w:rPr>
                <w:rFonts w:hint="eastAsia" w:ascii="宋体" w:hAnsi="宋体" w:cs="宋体"/>
                <w:b/>
                <w:bCs/>
                <w:szCs w:val="21"/>
              </w:rPr>
              <w:t>序号</w:t>
            </w:r>
          </w:p>
        </w:tc>
        <w:tc>
          <w:tcPr>
            <w:tcW w:w="1658" w:type="dxa"/>
            <w:tcBorders>
              <w:top w:val="single" w:color="auto" w:sz="6" w:space="0"/>
              <w:left w:val="single" w:color="auto" w:sz="4"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shd w:val="pct10" w:color="auto" w:fill="FFFFFF"/>
              </w:rPr>
            </w:pPr>
            <w:r>
              <w:rPr>
                <w:rFonts w:hint="eastAsia" w:ascii="宋体" w:hAnsi="宋体" w:cs="宋体"/>
                <w:b/>
                <w:bCs/>
                <w:szCs w:val="21"/>
              </w:rPr>
              <w:t>货物名称</w:t>
            </w:r>
          </w:p>
        </w:tc>
        <w:tc>
          <w:tcPr>
            <w:tcW w:w="1035" w:type="dxa"/>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rPr>
            </w:pPr>
            <w:r>
              <w:rPr>
                <w:rFonts w:hint="eastAsia" w:ascii="宋体" w:hAnsi="宋体" w:cs="宋体"/>
                <w:b/>
                <w:bCs/>
                <w:szCs w:val="21"/>
              </w:rPr>
              <w:t>剂型</w:t>
            </w:r>
          </w:p>
        </w:tc>
        <w:tc>
          <w:tcPr>
            <w:tcW w:w="1020" w:type="dxa"/>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rPr>
            </w:pPr>
            <w:r>
              <w:rPr>
                <w:rFonts w:hint="eastAsia" w:ascii="宋体" w:hAnsi="宋体" w:cs="宋体"/>
                <w:b/>
                <w:bCs/>
                <w:szCs w:val="21"/>
              </w:rPr>
              <w:t>单位</w:t>
            </w:r>
          </w:p>
        </w:tc>
        <w:tc>
          <w:tcPr>
            <w:tcW w:w="1854" w:type="dxa"/>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rPr>
            </w:pPr>
            <w:r>
              <w:rPr>
                <w:rFonts w:hint="eastAsia" w:ascii="宋体" w:hAnsi="宋体" w:cs="宋体"/>
                <w:b/>
                <w:bCs/>
                <w:szCs w:val="21"/>
              </w:rPr>
              <w:t>组成规格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935" w:type="dxa"/>
            <w:vMerge w:val="restart"/>
            <w:tcBorders>
              <w:top w:val="single" w:color="auto" w:sz="6" w:space="0"/>
              <w:left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bCs/>
                <w:szCs w:val="21"/>
              </w:rPr>
              <w:t>1</w:t>
            </w:r>
          </w:p>
        </w:tc>
        <w:tc>
          <w:tcPr>
            <w:tcW w:w="1658" w:type="dxa"/>
            <w:vMerge w:val="restart"/>
            <w:tcBorders>
              <w:top w:val="single" w:color="auto" w:sz="6" w:space="0"/>
              <w:left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bCs/>
                <w:sz w:val="24"/>
              </w:rPr>
              <w:t>乙胺吡嗪利福异烟片（Ⅱ）</w:t>
            </w:r>
          </w:p>
        </w:tc>
        <w:tc>
          <w:tcPr>
            <w:tcW w:w="1035" w:type="dxa"/>
            <w:vMerge w:val="restart"/>
            <w:tcBorders>
              <w:top w:val="single" w:color="auto" w:sz="6" w:space="0"/>
              <w:left w:val="single" w:color="auto" w:sz="6" w:space="0"/>
              <w:right w:val="single" w:color="auto" w:sz="6" w:space="0"/>
            </w:tcBorders>
            <w:vAlign w:val="center"/>
          </w:tcPr>
          <w:p>
            <w:pPr>
              <w:ind w:firstLine="120" w:firstLineChars="50"/>
              <w:jc w:val="center"/>
              <w:rPr>
                <w:rFonts w:ascii="宋体" w:cs="宋体"/>
                <w:kern w:val="0"/>
                <w:sz w:val="24"/>
              </w:rPr>
            </w:pPr>
            <w:r>
              <w:rPr>
                <w:rFonts w:hint="eastAsia" w:ascii="宋体" w:hAnsi="宋体" w:cs="宋体"/>
                <w:kern w:val="0"/>
                <w:sz w:val="24"/>
              </w:rPr>
              <w:t>胶囊</w:t>
            </w:r>
            <w:r>
              <w:rPr>
                <w:rFonts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kern w:val="0"/>
                <w:sz w:val="24"/>
              </w:rPr>
              <w:t>片剂</w:t>
            </w:r>
          </w:p>
        </w:tc>
        <w:tc>
          <w:tcPr>
            <w:tcW w:w="102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kern w:val="0"/>
                <w:sz w:val="24"/>
              </w:rPr>
              <w:t>粒</w:t>
            </w:r>
            <w:r>
              <w:rPr>
                <w:rFonts w:ascii="宋体" w:hAnsi="宋体" w:cs="宋体"/>
                <w:kern w:val="0"/>
                <w:sz w:val="24"/>
              </w:rPr>
              <w:t>/</w:t>
            </w:r>
            <w:r>
              <w:rPr>
                <w:rFonts w:hint="eastAsia" w:ascii="宋体" w:hAnsi="宋体" w:cs="宋体"/>
                <w:kern w:val="0"/>
                <w:sz w:val="24"/>
              </w:rPr>
              <w:t>片</w:t>
            </w:r>
          </w:p>
        </w:tc>
        <w:tc>
          <w:tcPr>
            <w:tcW w:w="1854" w:type="dxa"/>
            <w:tcBorders>
              <w:top w:val="single" w:color="auto" w:sz="6" w:space="0"/>
              <w:left w:val="single" w:color="auto" w:sz="6" w:space="0"/>
              <w:bottom w:val="single" w:color="auto" w:sz="6" w:space="0"/>
              <w:right w:val="single" w:color="auto" w:sz="6" w:space="0"/>
            </w:tcBorders>
            <w:vAlign w:val="center"/>
          </w:tcPr>
          <w:p>
            <w:pPr>
              <w:ind w:firstLine="120" w:firstLineChars="50"/>
              <w:jc w:val="center"/>
              <w:rPr>
                <w:rFonts w:ascii="宋体" w:cs="宋体"/>
                <w:kern w:val="0"/>
                <w:sz w:val="24"/>
              </w:rPr>
            </w:pPr>
            <w:r>
              <w:rPr>
                <w:rFonts w:ascii="宋体" w:hAnsi="宋体" w:cs="宋体"/>
                <w:kern w:val="0"/>
                <w:sz w:val="24"/>
              </w:rPr>
              <w:t>H 37.5mg</w:t>
            </w:r>
          </w:p>
          <w:p>
            <w:pPr>
              <w:ind w:firstLine="120" w:firstLineChars="50"/>
              <w:jc w:val="center"/>
              <w:rPr>
                <w:rFonts w:ascii="宋体" w:cs="宋体"/>
                <w:kern w:val="0"/>
                <w:sz w:val="24"/>
              </w:rPr>
            </w:pPr>
            <w:r>
              <w:rPr>
                <w:rFonts w:ascii="宋体" w:hAnsi="宋体" w:cs="宋体"/>
                <w:kern w:val="0"/>
                <w:sz w:val="24"/>
              </w:rPr>
              <w:t>R 75mg</w:t>
            </w:r>
          </w:p>
          <w:p>
            <w:pPr>
              <w:ind w:firstLine="120" w:firstLineChars="50"/>
              <w:jc w:val="center"/>
              <w:rPr>
                <w:rFonts w:ascii="宋体" w:cs="宋体"/>
                <w:kern w:val="0"/>
                <w:sz w:val="24"/>
              </w:rPr>
            </w:pPr>
            <w:r>
              <w:rPr>
                <w:rFonts w:ascii="宋体" w:hAnsi="宋体" w:cs="宋体"/>
                <w:kern w:val="0"/>
                <w:sz w:val="24"/>
              </w:rPr>
              <w:t>Z 200mg</w:t>
            </w:r>
          </w:p>
          <w:p>
            <w:pPr>
              <w:ind w:firstLine="120" w:firstLineChars="50"/>
              <w:jc w:val="center"/>
              <w:rPr>
                <w:rFonts w:ascii="宋体" w:hAnsi="宋体" w:cs="宋体"/>
                <w:bCs/>
                <w:szCs w:val="21"/>
              </w:rPr>
            </w:pPr>
            <w:r>
              <w:rPr>
                <w:rFonts w:ascii="宋体" w:hAnsi="宋体" w:cs="宋体"/>
                <w:kern w:val="0"/>
                <w:sz w:val="24"/>
              </w:rPr>
              <w:t>E 137.5mg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935" w:type="dxa"/>
            <w:vMerge w:val="continue"/>
            <w:tcBorders>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bCs/>
                <w:szCs w:val="21"/>
              </w:rPr>
            </w:pPr>
          </w:p>
        </w:tc>
        <w:tc>
          <w:tcPr>
            <w:tcW w:w="1658" w:type="dxa"/>
            <w:vMerge w:val="continue"/>
            <w:tcBorders>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bCs/>
                <w:szCs w:val="21"/>
              </w:rPr>
            </w:pPr>
          </w:p>
        </w:tc>
        <w:tc>
          <w:tcPr>
            <w:tcW w:w="103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bCs/>
                <w:szCs w:val="21"/>
              </w:rPr>
            </w:pPr>
          </w:p>
        </w:tc>
        <w:tc>
          <w:tcPr>
            <w:tcW w:w="102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bCs/>
                <w:szCs w:val="21"/>
              </w:rPr>
            </w:pPr>
          </w:p>
        </w:tc>
        <w:tc>
          <w:tcPr>
            <w:tcW w:w="1854" w:type="dxa"/>
            <w:tcBorders>
              <w:top w:val="single" w:color="auto" w:sz="6" w:space="0"/>
              <w:left w:val="single" w:color="auto" w:sz="6" w:space="0"/>
              <w:bottom w:val="single" w:color="auto" w:sz="6" w:space="0"/>
              <w:right w:val="single" w:color="auto" w:sz="6" w:space="0"/>
            </w:tcBorders>
            <w:vAlign w:val="center"/>
          </w:tcPr>
          <w:p>
            <w:pPr>
              <w:ind w:firstLine="120" w:firstLineChars="50"/>
              <w:jc w:val="center"/>
              <w:rPr>
                <w:rFonts w:ascii="宋体" w:cs="宋体"/>
                <w:kern w:val="0"/>
                <w:sz w:val="24"/>
              </w:rPr>
            </w:pPr>
            <w:r>
              <w:rPr>
                <w:rFonts w:ascii="宋体" w:hAnsi="宋体" w:cs="宋体"/>
                <w:kern w:val="0"/>
                <w:sz w:val="24"/>
              </w:rPr>
              <w:t>H 75mg</w:t>
            </w:r>
          </w:p>
          <w:p>
            <w:pPr>
              <w:ind w:firstLine="120" w:firstLineChars="50"/>
              <w:jc w:val="center"/>
              <w:rPr>
                <w:rFonts w:ascii="宋体" w:cs="宋体"/>
                <w:kern w:val="0"/>
                <w:sz w:val="24"/>
              </w:rPr>
            </w:pPr>
            <w:r>
              <w:rPr>
                <w:rFonts w:ascii="宋体" w:hAnsi="宋体" w:cs="宋体"/>
                <w:kern w:val="0"/>
                <w:sz w:val="24"/>
              </w:rPr>
              <w:t>R 150mg</w:t>
            </w:r>
          </w:p>
          <w:p>
            <w:pPr>
              <w:ind w:firstLine="120" w:firstLineChars="50"/>
              <w:jc w:val="center"/>
              <w:rPr>
                <w:rFonts w:ascii="宋体" w:cs="宋体"/>
                <w:kern w:val="0"/>
                <w:sz w:val="24"/>
              </w:rPr>
            </w:pPr>
            <w:r>
              <w:rPr>
                <w:rFonts w:ascii="宋体" w:hAnsi="宋体" w:cs="宋体"/>
                <w:kern w:val="0"/>
                <w:sz w:val="24"/>
              </w:rPr>
              <w:t>Z 400mg</w:t>
            </w:r>
          </w:p>
          <w:p>
            <w:pPr>
              <w:ind w:firstLine="120" w:firstLineChars="50"/>
              <w:jc w:val="center"/>
              <w:rPr>
                <w:rFonts w:hint="eastAsia" w:ascii="宋体" w:hAnsi="宋体" w:cs="宋体"/>
                <w:bCs/>
                <w:szCs w:val="21"/>
              </w:rPr>
            </w:pPr>
            <w:r>
              <w:rPr>
                <w:rFonts w:ascii="宋体" w:hAnsi="宋体" w:cs="宋体"/>
                <w:kern w:val="0"/>
                <w:sz w:val="24"/>
              </w:rPr>
              <w:t>E 275mg</w:t>
            </w:r>
          </w:p>
        </w:tc>
      </w:tr>
    </w:tbl>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注：1.接受以上规格中的任意一种，供应商可选取其中一种规格进行报价</w:t>
      </w:r>
    </w:p>
    <w:p>
      <w:pPr>
        <w:pStyle w:val="2"/>
        <w:keepNext w:val="0"/>
        <w:keepLines w:val="0"/>
        <w:pageBreakBefore w:val="0"/>
        <w:widowControl w:val="0"/>
        <w:kinsoku/>
        <w:wordWrap/>
        <w:overflowPunct/>
        <w:topLinePunct w:val="0"/>
        <w:autoSpaceDE/>
        <w:autoSpaceDN/>
        <w:bidi w:val="0"/>
        <w:adjustRightInd/>
        <w:snapToGrid/>
        <w:spacing w:line="520" w:lineRule="exact"/>
        <w:ind w:firstLine="520" w:firstLineChars="200"/>
        <w:textAlignment w:val="auto"/>
        <w:rPr>
          <w:rFonts w:hint="eastAsia"/>
          <w:lang w:val="en-US" w:eastAsia="zh-CN"/>
        </w:rPr>
      </w:pPr>
      <w:r>
        <w:rPr>
          <w:rFonts w:hint="eastAsia"/>
          <w:lang w:val="en-US" w:eastAsia="zh-CN"/>
        </w:rPr>
        <w:t>2.价格按中标单价计算。采购数量由采购人依实际情况而定；</w:t>
      </w:r>
    </w:p>
    <w:p>
      <w:pPr>
        <w:pStyle w:val="2"/>
        <w:keepNext w:val="0"/>
        <w:keepLines w:val="0"/>
        <w:pageBreakBefore w:val="0"/>
        <w:widowControl w:val="0"/>
        <w:kinsoku/>
        <w:wordWrap/>
        <w:overflowPunct/>
        <w:topLinePunct w:val="0"/>
        <w:autoSpaceDE/>
        <w:autoSpaceDN/>
        <w:bidi w:val="0"/>
        <w:adjustRightInd/>
        <w:snapToGrid/>
        <w:spacing w:line="520" w:lineRule="exact"/>
        <w:ind w:firstLine="520" w:firstLineChars="200"/>
        <w:textAlignment w:val="auto"/>
        <w:rPr>
          <w:rFonts w:hint="default" w:eastAsiaTheme="minorEastAsia"/>
          <w:lang w:val="en-US" w:eastAsia="zh-CN"/>
        </w:rPr>
      </w:pPr>
      <w:r>
        <w:rPr>
          <w:rFonts w:hint="eastAsia"/>
          <w:lang w:val="en-US" w:eastAsia="zh-CN"/>
        </w:rPr>
        <w:t>3.货款结算方式为：实际采购数量×中标单价，分批结算。</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包装及</w:t>
      </w:r>
      <w:r>
        <w:rPr>
          <w:rFonts w:hint="eastAsia" w:asciiTheme="minorEastAsia" w:hAnsiTheme="minorEastAsia" w:cstheme="minorEastAsia"/>
          <w:b/>
          <w:sz w:val="28"/>
          <w:szCs w:val="28"/>
          <w:lang w:val="en-US" w:eastAsia="zh-CN"/>
        </w:rPr>
        <w:t>供应商</w:t>
      </w:r>
      <w:r>
        <w:rPr>
          <w:rFonts w:hint="eastAsia" w:asciiTheme="minorEastAsia" w:hAnsiTheme="minorEastAsia" w:eastAsiaTheme="minorEastAsia" w:cstheme="minorEastAsia"/>
          <w:b/>
          <w:sz w:val="28"/>
          <w:szCs w:val="28"/>
        </w:rPr>
        <w:t>要求</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lang w:eastAsia="zh-CN"/>
        </w:rPr>
        <w:t>.</w:t>
      </w:r>
      <w:r>
        <w:rPr>
          <w:rFonts w:hint="eastAsia" w:ascii="宋体" w:hAnsi="宋体" w:cs="宋体"/>
          <w:sz w:val="24"/>
        </w:rPr>
        <w:t>多种药品组合的铝塑泡罩包装产品，须按规定的技术规格进行生产，该组合包装须在药品的有效期内能够保证药品的质量。该包装材料中的“药品包装用铝箔”和“药用聚氯乙烯（</w:t>
      </w:r>
      <w:r>
        <w:rPr>
          <w:rFonts w:ascii="宋体" w:hAnsi="宋体" w:cs="宋体"/>
          <w:sz w:val="24"/>
        </w:rPr>
        <w:t>PVC</w:t>
      </w:r>
      <w:r>
        <w:rPr>
          <w:rFonts w:hint="eastAsia" w:ascii="宋体" w:hAnsi="宋体" w:cs="宋体"/>
          <w:sz w:val="24"/>
        </w:rPr>
        <w:t>）硬片”的生产须取得相关主管部门许可并且分别符合</w:t>
      </w:r>
      <w:r>
        <w:rPr>
          <w:rFonts w:ascii="宋体" w:hAnsi="宋体" w:cs="宋体"/>
          <w:sz w:val="24"/>
        </w:rPr>
        <w:t xml:space="preserve"> GB12255-90 </w:t>
      </w:r>
      <w:r>
        <w:rPr>
          <w:rFonts w:hint="eastAsia" w:ascii="宋体" w:hAnsi="宋体" w:cs="宋体"/>
          <w:sz w:val="24"/>
        </w:rPr>
        <w:t>和</w:t>
      </w:r>
      <w:r>
        <w:rPr>
          <w:rFonts w:ascii="宋体" w:hAnsi="宋体" w:cs="宋体"/>
          <w:sz w:val="24"/>
        </w:rPr>
        <w:t xml:space="preserve"> GB5663 </w:t>
      </w:r>
      <w:r>
        <w:rPr>
          <w:rFonts w:hint="eastAsia" w:ascii="宋体" w:hAnsi="宋体" w:cs="宋体"/>
          <w:sz w:val="24"/>
        </w:rPr>
        <w:t>国家标准。“药品铝塑泡罩包装”质量须符合</w:t>
      </w:r>
      <w:r>
        <w:rPr>
          <w:rFonts w:ascii="宋体" w:hAnsi="宋体" w:cs="宋体"/>
          <w:sz w:val="24"/>
        </w:rPr>
        <w:t xml:space="preserve"> ZBC08003-87 </w:t>
      </w:r>
      <w:r>
        <w:rPr>
          <w:rFonts w:hint="eastAsia" w:ascii="宋体" w:hAnsi="宋体" w:cs="宋体"/>
          <w:sz w:val="24"/>
        </w:rPr>
        <w:t>或最新专业标准。</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每盒包装</w:t>
      </w:r>
      <w:r>
        <w:rPr>
          <w:rFonts w:ascii="宋体" w:hAnsi="宋体" w:cs="宋体"/>
          <w:sz w:val="24"/>
        </w:rPr>
        <w:t>30</w:t>
      </w:r>
      <w:r>
        <w:rPr>
          <w:rFonts w:hint="eastAsia" w:ascii="宋体" w:hAnsi="宋体" w:cs="宋体"/>
          <w:sz w:val="24"/>
        </w:rPr>
        <w:t>或</w:t>
      </w:r>
      <w:r>
        <w:rPr>
          <w:rFonts w:ascii="宋体" w:hAnsi="宋体" w:cs="宋体"/>
          <w:sz w:val="24"/>
        </w:rPr>
        <w:t>60</w:t>
      </w:r>
      <w:r>
        <w:rPr>
          <w:rFonts w:hint="eastAsia" w:ascii="宋体" w:hAnsi="宋体" w:cs="宋体"/>
          <w:sz w:val="24"/>
        </w:rPr>
        <w:t>粒</w:t>
      </w:r>
      <w:r>
        <w:rPr>
          <w:rFonts w:ascii="宋体" w:hAnsi="宋体" w:cs="宋体"/>
          <w:sz w:val="24"/>
        </w:rPr>
        <w:t>/</w:t>
      </w:r>
      <w:r>
        <w:rPr>
          <w:rFonts w:hint="eastAsia" w:ascii="宋体" w:hAnsi="宋体" w:cs="宋体"/>
          <w:sz w:val="24"/>
        </w:rPr>
        <w:t>片，为了防止潮湿，在装入大纸盒之前，对小盒应外加塑料膜包装。</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所有药品的包装箱、包装盒上需印上“广东省结核病控制项目专供药品”字样。</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四联固定剂量复合制剂有效期不少于</w:t>
      </w:r>
      <w:r>
        <w:rPr>
          <w:rFonts w:ascii="宋体" w:hAnsi="宋体" w:cs="宋体"/>
          <w:sz w:val="24"/>
        </w:rPr>
        <w:t>2</w:t>
      </w:r>
      <w:r>
        <w:rPr>
          <w:rFonts w:hint="eastAsia" w:ascii="宋体" w:hAnsi="宋体" w:cs="宋体"/>
          <w:sz w:val="24"/>
        </w:rPr>
        <w:t>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rPr>
      </w:pPr>
      <w:r>
        <w:rPr>
          <w:rFonts w:hint="eastAsia" w:ascii="宋体" w:hAnsi="宋体" w:cs="宋体"/>
          <w:sz w:val="24"/>
          <w:lang w:val="en-US" w:eastAsia="zh-CN"/>
        </w:rPr>
        <w:t>5.供应商</w:t>
      </w:r>
      <w:r>
        <w:rPr>
          <w:rFonts w:hint="eastAsia" w:ascii="宋体" w:hAnsi="宋体" w:cs="宋体"/>
          <w:sz w:val="24"/>
        </w:rPr>
        <w:t>须为所投产品的制造商或代理经销商，提供制造商针对本项目的授权或代理经销证明复印件。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药品的质量保证</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ascii="宋体" w:hAnsi="宋体" w:cs="宋体"/>
          <w:sz w:val="24"/>
        </w:rPr>
      </w:pPr>
      <w:r>
        <w:rPr>
          <w:rFonts w:hint="eastAsia" w:ascii="宋体" w:hAnsi="宋体" w:cs="宋体"/>
          <w:sz w:val="24"/>
        </w:rPr>
        <w:t>1.所有抗结核药品的生产要符合中国药典的标准，并保证生产后的药品有效期不少于 2 年，药品运送到收货单位时的有效期应在</w:t>
      </w:r>
      <w:r>
        <w:rPr>
          <w:rFonts w:hint="eastAsia" w:ascii="宋体" w:hAnsi="宋体" w:cs="宋体"/>
          <w:sz w:val="24"/>
          <w:u w:val="single"/>
        </w:rPr>
        <w:t xml:space="preserve"> 1 </w:t>
      </w:r>
      <w:r>
        <w:rPr>
          <w:rFonts w:hint="eastAsia" w:ascii="宋体" w:hAnsi="宋体" w:cs="宋体"/>
          <w:sz w:val="24"/>
        </w:rPr>
        <w:t>年</w:t>
      </w:r>
      <w:r>
        <w:rPr>
          <w:rFonts w:hint="eastAsia" w:ascii="宋体" w:hAnsi="宋体" w:cs="宋体"/>
          <w:sz w:val="24"/>
          <w:u w:val="single"/>
        </w:rPr>
        <w:t xml:space="preserve"> 10 </w:t>
      </w:r>
      <w:r>
        <w:rPr>
          <w:rFonts w:hint="eastAsia" w:ascii="宋体" w:hAnsi="宋体" w:cs="宋体"/>
          <w:sz w:val="24"/>
        </w:rPr>
        <w:t>个月以上。</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ascii="宋体" w:hAnsi="宋体" w:cs="宋体"/>
          <w:sz w:val="24"/>
        </w:rPr>
      </w:pPr>
      <w:r>
        <w:rPr>
          <w:rFonts w:hint="eastAsia" w:ascii="宋体" w:hAnsi="宋体" w:cs="宋体"/>
          <w:sz w:val="24"/>
        </w:rPr>
        <w:t>2.</w:t>
      </w:r>
      <w:r>
        <w:rPr>
          <w:rFonts w:hint="eastAsia" w:ascii="宋体" w:hAnsi="宋体" w:cs="宋体"/>
          <w:sz w:val="24"/>
          <w:lang w:val="en-US" w:eastAsia="zh-CN"/>
        </w:rPr>
        <w:t>供应商</w:t>
      </w:r>
      <w:r>
        <w:rPr>
          <w:rFonts w:hint="eastAsia" w:ascii="宋体" w:hAnsi="宋体" w:cs="宋体"/>
          <w:sz w:val="24"/>
        </w:rPr>
        <w:t>应在药品的有效期内保证抗结核药品的质量。在有效期内供货者对任何缺陷和劣变药品应实施补偿改善措施，更换所有需要更换的药品并承担所需费用。且须以组合包装方式更换所有相同生产批号的药品，不能只更换有缺陷和劣变的药品，即</w:t>
      </w:r>
      <w:r>
        <w:rPr>
          <w:rFonts w:hint="eastAsia" w:ascii="宋体" w:hAnsi="宋体" w:cs="宋体"/>
          <w:sz w:val="24"/>
          <w:lang w:val="en-US" w:eastAsia="zh-CN"/>
        </w:rPr>
        <w:t>供应商</w:t>
      </w:r>
      <w:r>
        <w:rPr>
          <w:rFonts w:hint="eastAsia" w:ascii="宋体" w:hAnsi="宋体" w:cs="宋体"/>
          <w:sz w:val="24"/>
        </w:rPr>
        <w:t>须更换包括其他药品在内的整个铝塑板。更换时间达到最终用户不得少于 6 个月的有效期。</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ascii="宋体" w:hAnsi="宋体" w:cs="宋体"/>
          <w:sz w:val="24"/>
        </w:rPr>
      </w:pPr>
      <w:r>
        <w:rPr>
          <w:rFonts w:hint="eastAsia" w:ascii="宋体" w:hAnsi="宋体" w:cs="宋体"/>
          <w:sz w:val="24"/>
        </w:rPr>
        <w:t>3.如果由于质量问题需要回收药品，</w:t>
      </w:r>
      <w:r>
        <w:rPr>
          <w:rFonts w:hint="eastAsia" w:ascii="宋体" w:hAnsi="宋体" w:cs="宋体"/>
          <w:sz w:val="24"/>
          <w:lang w:val="en-US" w:eastAsia="zh-CN"/>
        </w:rPr>
        <w:t>供应商接采购人通知后，须</w:t>
      </w:r>
      <w:r>
        <w:rPr>
          <w:rFonts w:hint="eastAsia" w:ascii="宋体" w:hAnsi="宋体" w:cs="宋体"/>
          <w:sz w:val="24"/>
        </w:rPr>
        <w:t>按能够认同的质量标准重新供货并承担所需费用。</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hint="eastAsia" w:ascii="宋体" w:hAnsi="宋体" w:cs="宋体"/>
          <w:sz w:val="24"/>
        </w:rPr>
      </w:pPr>
      <w:r>
        <w:rPr>
          <w:rFonts w:hint="eastAsia" w:ascii="宋体" w:hAnsi="宋体" w:cs="宋体"/>
          <w:sz w:val="24"/>
        </w:rPr>
        <w:t>4.如果由于药品质量问题导致患者出现不良后果</w:t>
      </w:r>
      <w:r>
        <w:rPr>
          <w:rFonts w:hint="eastAsia" w:ascii="宋体" w:hAnsi="宋体" w:cs="宋体"/>
          <w:sz w:val="24"/>
          <w:lang w:eastAsia="zh-CN"/>
        </w:rPr>
        <w:t>，</w:t>
      </w:r>
      <w:r>
        <w:rPr>
          <w:rFonts w:hint="eastAsia" w:ascii="宋体" w:hAnsi="宋体" w:cs="宋体"/>
          <w:sz w:val="24"/>
          <w:lang w:val="en-US" w:eastAsia="zh-CN"/>
        </w:rPr>
        <w:t>供应商</w:t>
      </w:r>
      <w:r>
        <w:rPr>
          <w:rFonts w:hint="eastAsia" w:ascii="宋体" w:hAnsi="宋体" w:cs="宋体"/>
          <w:sz w:val="24"/>
        </w:rPr>
        <w:t>及厂家需承担相关责任及支付相关费用。</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hint="eastAsia"/>
        </w:rPr>
      </w:pPr>
      <w:r>
        <w:rPr>
          <w:rFonts w:hint="eastAsia" w:ascii="宋体" w:hAnsi="宋体" w:cs="宋体"/>
          <w:sz w:val="24"/>
          <w:lang w:val="en-US" w:eastAsia="zh-CN"/>
        </w:rPr>
        <w:t>5.</w:t>
      </w:r>
      <w:r>
        <w:rPr>
          <w:rFonts w:hint="eastAsia" w:ascii="宋体" w:hAnsi="宋体" w:cs="宋体"/>
          <w:sz w:val="24"/>
        </w:rPr>
        <w:t>采购人</w:t>
      </w:r>
      <w:r>
        <w:rPr>
          <w:rFonts w:hint="eastAsia" w:ascii="宋体" w:hAnsi="宋体" w:cs="宋体"/>
          <w:sz w:val="24"/>
          <w:lang w:val="en-US" w:eastAsia="zh-CN"/>
        </w:rPr>
        <w:t>有权</w:t>
      </w:r>
      <w:r>
        <w:rPr>
          <w:rFonts w:hint="eastAsia" w:ascii="宋体" w:hAnsi="宋体" w:cs="宋体"/>
          <w:sz w:val="24"/>
        </w:rPr>
        <w:t>委托</w:t>
      </w:r>
      <w:r>
        <w:rPr>
          <w:rFonts w:hint="eastAsia" w:ascii="宋体" w:hAnsi="宋体" w:cs="宋体"/>
          <w:sz w:val="24"/>
          <w:lang w:val="en-US" w:eastAsia="zh-CN"/>
        </w:rPr>
        <w:t>相关检测机构</w:t>
      </w:r>
      <w:r>
        <w:rPr>
          <w:rFonts w:hint="eastAsia" w:ascii="宋体" w:hAnsi="宋体" w:cs="宋体"/>
          <w:sz w:val="24"/>
        </w:rPr>
        <w:t>对每次交纳的药品随机对其中一个批号的产品进行抽样检查。抽样、检验所需费用由投标人承担，由于药品质量问题要求回收药品时产生的费用及损失由</w:t>
      </w:r>
      <w:r>
        <w:rPr>
          <w:rFonts w:hint="eastAsia" w:ascii="宋体" w:hAnsi="宋体" w:cs="宋体"/>
          <w:sz w:val="24"/>
          <w:lang w:val="en-US" w:eastAsia="zh-CN"/>
        </w:rPr>
        <w:t>供应商</w:t>
      </w:r>
      <w:r>
        <w:rPr>
          <w:rFonts w:hint="eastAsia" w:ascii="宋体" w:hAnsi="宋体" w:cs="宋体"/>
          <w:sz w:val="24"/>
        </w:rPr>
        <w:t>承担。</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rPr>
        <w:t>运输</w:t>
      </w:r>
      <w:r>
        <w:rPr>
          <w:rFonts w:hint="eastAsia" w:asciiTheme="minorEastAsia" w:hAnsiTheme="minorEastAsia" w:eastAsiaTheme="minorEastAsia" w:cstheme="minorEastAsia"/>
          <w:b/>
          <w:sz w:val="28"/>
          <w:szCs w:val="28"/>
          <w:lang w:val="en-US" w:eastAsia="zh-CN"/>
        </w:rPr>
        <w:t>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1.所有药品由中标人直接运输并搬运至广东省结核病控制中心指定的省级及其下属 21个地市级、125个区（县）级结防机构的药品仓库。</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rPr>
      </w:pPr>
      <w:r>
        <w:rPr>
          <w:rFonts w:hint="eastAsia" w:ascii="宋体" w:hAnsi="宋体" w:cs="宋体"/>
          <w:sz w:val="24"/>
        </w:rPr>
        <w:t>2.运输所需费用（含保险金、装卸货、搬运费用等）已包含在成交价中，需由</w:t>
      </w:r>
      <w:r>
        <w:rPr>
          <w:rFonts w:hint="eastAsia" w:ascii="宋体" w:hAnsi="宋体" w:cs="宋体"/>
          <w:sz w:val="24"/>
          <w:lang w:val="en-US" w:eastAsia="zh-CN"/>
        </w:rPr>
        <w:t>供应商</w:t>
      </w:r>
      <w:r>
        <w:rPr>
          <w:rFonts w:hint="eastAsia" w:ascii="宋体" w:hAnsi="宋体" w:cs="宋体"/>
          <w:sz w:val="24"/>
        </w:rPr>
        <w:t>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lang w:eastAsia="zh-CN"/>
        </w:rPr>
      </w:pPr>
      <w:r>
        <w:rPr>
          <w:rFonts w:hint="eastAsia" w:ascii="宋体" w:hAnsi="宋体" w:cs="宋体"/>
          <w:sz w:val="24"/>
        </w:rPr>
        <w:t>3.发送货物之前，</w:t>
      </w:r>
      <w:r>
        <w:rPr>
          <w:rFonts w:hint="eastAsia" w:ascii="宋体" w:hAnsi="宋体" w:cs="宋体"/>
          <w:sz w:val="24"/>
          <w:lang w:val="en-US" w:eastAsia="zh-CN"/>
        </w:rPr>
        <w:t>供应商</w:t>
      </w:r>
      <w:r>
        <w:rPr>
          <w:rFonts w:hint="eastAsia" w:ascii="宋体" w:hAnsi="宋体" w:cs="宋体"/>
          <w:sz w:val="24"/>
        </w:rPr>
        <w:t>需向采购人提供发货时间表</w:t>
      </w:r>
      <w:r>
        <w:rPr>
          <w:rFonts w:hint="eastAsia" w:ascii="宋体" w:hAnsi="宋体" w:cs="宋体"/>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交货期及交货地点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rPr>
      </w:pPr>
      <w:r>
        <w:rPr>
          <w:rFonts w:hint="eastAsia" w:ascii="宋体" w:hAnsi="宋体" w:cs="宋体"/>
          <w:sz w:val="24"/>
        </w:rPr>
        <w:t>签定合同后，根据采购人的通知分批把药品送到广东省结核病控制中心指定的省级及其下属 21个地市级、125个区（县）级结防机构的药品仓库。</w:t>
      </w:r>
    </w:p>
    <w:bookmarkEnd w:id="0"/>
    <w:bookmarkEnd w:id="1"/>
    <w:bookmarkEnd w:id="2"/>
    <w:bookmarkEnd w:id="3"/>
    <w:p>
      <w:pPr>
        <w:spacing w:line="480" w:lineRule="auto"/>
        <w:jc w:val="left"/>
        <w:rPr>
          <w:rFonts w:ascii="华文中宋" w:hAnsi="华文中宋" w:eastAsia="华文中宋" w:cs="微软雅黑"/>
          <w:color w:val="000000" w:themeColor="text1"/>
          <w:sz w:val="24"/>
          <w:szCs w:val="24"/>
          <w14:textFill>
            <w14:solidFill>
              <w14:schemeClr w14:val="tx1"/>
            </w14:solidFill>
          </w14:textFill>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DF975"/>
    <w:multiLevelType w:val="singleLevel"/>
    <w:tmpl w:val="59DDF97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4D"/>
    <w:rsid w:val="000308BB"/>
    <w:rsid w:val="000C10B7"/>
    <w:rsid w:val="000E44B7"/>
    <w:rsid w:val="000F0D8B"/>
    <w:rsid w:val="00122205"/>
    <w:rsid w:val="00140FE6"/>
    <w:rsid w:val="00145896"/>
    <w:rsid w:val="00172055"/>
    <w:rsid w:val="00174969"/>
    <w:rsid w:val="001A59C0"/>
    <w:rsid w:val="00224B6E"/>
    <w:rsid w:val="00235CC3"/>
    <w:rsid w:val="00254704"/>
    <w:rsid w:val="002666ED"/>
    <w:rsid w:val="002819E0"/>
    <w:rsid w:val="002C79CA"/>
    <w:rsid w:val="002E61C1"/>
    <w:rsid w:val="00303F22"/>
    <w:rsid w:val="0030788A"/>
    <w:rsid w:val="00333476"/>
    <w:rsid w:val="00336808"/>
    <w:rsid w:val="0035411D"/>
    <w:rsid w:val="003734E3"/>
    <w:rsid w:val="00383DB6"/>
    <w:rsid w:val="003A57CA"/>
    <w:rsid w:val="003B01AA"/>
    <w:rsid w:val="003E04B3"/>
    <w:rsid w:val="003E217E"/>
    <w:rsid w:val="0040322E"/>
    <w:rsid w:val="00467C98"/>
    <w:rsid w:val="00483114"/>
    <w:rsid w:val="004A6821"/>
    <w:rsid w:val="004D18E2"/>
    <w:rsid w:val="004F5DD8"/>
    <w:rsid w:val="005007BB"/>
    <w:rsid w:val="0051790A"/>
    <w:rsid w:val="00527226"/>
    <w:rsid w:val="00535107"/>
    <w:rsid w:val="00577345"/>
    <w:rsid w:val="005A3CAD"/>
    <w:rsid w:val="005A67B2"/>
    <w:rsid w:val="005B6FB5"/>
    <w:rsid w:val="005E63D8"/>
    <w:rsid w:val="005F605F"/>
    <w:rsid w:val="00632084"/>
    <w:rsid w:val="00632B1C"/>
    <w:rsid w:val="006709F2"/>
    <w:rsid w:val="006A1BA3"/>
    <w:rsid w:val="006B4122"/>
    <w:rsid w:val="007029CD"/>
    <w:rsid w:val="007245C5"/>
    <w:rsid w:val="00755175"/>
    <w:rsid w:val="00781A02"/>
    <w:rsid w:val="007B17AF"/>
    <w:rsid w:val="007B6CB7"/>
    <w:rsid w:val="007D1163"/>
    <w:rsid w:val="0087100D"/>
    <w:rsid w:val="008A582F"/>
    <w:rsid w:val="008C6A19"/>
    <w:rsid w:val="008D40E4"/>
    <w:rsid w:val="009116C7"/>
    <w:rsid w:val="00921254"/>
    <w:rsid w:val="0095624D"/>
    <w:rsid w:val="009773C0"/>
    <w:rsid w:val="00980B15"/>
    <w:rsid w:val="009A5DBF"/>
    <w:rsid w:val="009B455E"/>
    <w:rsid w:val="009E7E4B"/>
    <w:rsid w:val="00A00CF1"/>
    <w:rsid w:val="00A214FB"/>
    <w:rsid w:val="00A267CD"/>
    <w:rsid w:val="00A45D4D"/>
    <w:rsid w:val="00A566FD"/>
    <w:rsid w:val="00A67ABB"/>
    <w:rsid w:val="00B26EA4"/>
    <w:rsid w:val="00B71D4C"/>
    <w:rsid w:val="00B73346"/>
    <w:rsid w:val="00BC602A"/>
    <w:rsid w:val="00C15814"/>
    <w:rsid w:val="00C41A4C"/>
    <w:rsid w:val="00CE1A54"/>
    <w:rsid w:val="00CE6CA8"/>
    <w:rsid w:val="00D223DD"/>
    <w:rsid w:val="00D7380F"/>
    <w:rsid w:val="00DA429F"/>
    <w:rsid w:val="00DA6AEF"/>
    <w:rsid w:val="00DD02AC"/>
    <w:rsid w:val="00DD0AC1"/>
    <w:rsid w:val="00DE0129"/>
    <w:rsid w:val="00DE26A2"/>
    <w:rsid w:val="00DF52D8"/>
    <w:rsid w:val="00DF62F0"/>
    <w:rsid w:val="00E27B99"/>
    <w:rsid w:val="00E36C5F"/>
    <w:rsid w:val="00E40A80"/>
    <w:rsid w:val="00E64D6D"/>
    <w:rsid w:val="00E7780D"/>
    <w:rsid w:val="00EA3528"/>
    <w:rsid w:val="00F10255"/>
    <w:rsid w:val="00F120F2"/>
    <w:rsid w:val="00F1594D"/>
    <w:rsid w:val="00F2246A"/>
    <w:rsid w:val="00F5488A"/>
    <w:rsid w:val="00F67D85"/>
    <w:rsid w:val="1E0E02DD"/>
    <w:rsid w:val="21893172"/>
    <w:rsid w:val="2880516A"/>
    <w:rsid w:val="3339307F"/>
    <w:rsid w:val="34A508F8"/>
    <w:rsid w:val="35832E23"/>
    <w:rsid w:val="741F0C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toa heading"/>
    <w:basedOn w:val="1"/>
    <w:next w:val="1"/>
    <w:semiHidden/>
    <w:qFormat/>
    <w:uiPriority w:val="0"/>
    <w:pPr>
      <w:adjustRightInd w:val="0"/>
      <w:spacing w:before="120"/>
      <w:textAlignment w:val="baseline"/>
    </w:pPr>
    <w:rPr>
      <w:rFonts w:eastAsia="微软雅黑" w:cs="Arial"/>
      <w:kern w:val="0"/>
      <w:sz w:val="24"/>
      <w:szCs w:val="20"/>
      <w:lang w:eastAsia="ja-JP"/>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7">
    <w:name w:val="Title"/>
    <w:basedOn w:val="1"/>
    <w:next w:val="1"/>
    <w:link w:val="13"/>
    <w:qFormat/>
    <w:uiPriority w:val="0"/>
    <w:pPr>
      <w:spacing w:before="240" w:after="60"/>
      <w:jc w:val="center"/>
      <w:outlineLvl w:val="0"/>
    </w:pPr>
    <w:rPr>
      <w:rFonts w:ascii="Cambria" w:hAnsi="Cambria" w:cs="Times New Roman"/>
      <w:b/>
      <w:bCs/>
      <w:sz w:val="32"/>
      <w:szCs w:val="32"/>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uiPriority w:val="99"/>
    <w:rPr>
      <w:sz w:val="18"/>
      <w:szCs w:val="18"/>
    </w:rPr>
  </w:style>
  <w:style w:type="character" w:customStyle="1" w:styleId="12">
    <w:name w:val="页脚 字符"/>
    <w:basedOn w:val="10"/>
    <w:link w:val="4"/>
    <w:uiPriority w:val="99"/>
    <w:rPr>
      <w:sz w:val="18"/>
      <w:szCs w:val="18"/>
    </w:rPr>
  </w:style>
  <w:style w:type="character" w:customStyle="1" w:styleId="13">
    <w:name w:val="标题 字符"/>
    <w:link w:val="7"/>
    <w:qFormat/>
    <w:uiPriority w:val="0"/>
    <w:rPr>
      <w:rFonts w:ascii="Cambria" w:hAnsi="Cambria" w:cs="Times New Roman"/>
      <w:b/>
      <w:bCs/>
      <w:kern w:val="2"/>
      <w:sz w:val="32"/>
      <w:szCs w:val="32"/>
    </w:rPr>
  </w:style>
  <w:style w:type="character" w:customStyle="1" w:styleId="14">
    <w:name w:val="标题 Char1"/>
    <w:basedOn w:val="10"/>
    <w:qFormat/>
    <w:uiPriority w:val="10"/>
    <w:rPr>
      <w:rFonts w:eastAsia="宋体" w:asciiTheme="majorHAnsi" w:hAnsiTheme="majorHAnsi" w:cstheme="majorBidi"/>
      <w:b/>
      <w:bCs/>
      <w:kern w:val="2"/>
      <w:sz w:val="32"/>
      <w:szCs w:val="32"/>
    </w:rPr>
  </w:style>
  <w:style w:type="paragraph" w:styleId="15">
    <w:name w:val="List Paragraph"/>
    <w:basedOn w:val="1"/>
    <w:qFormat/>
    <w:uiPriority w:val="34"/>
    <w:pPr>
      <w:spacing w:line="460" w:lineRule="exact"/>
      <w:ind w:firstLine="420" w:firstLineChars="200"/>
    </w:pPr>
    <w:rPr>
      <w:rFonts w:eastAsia="宋体"/>
    </w:rPr>
  </w:style>
  <w:style w:type="character" w:customStyle="1" w:styleId="16">
    <w:name w:val="Body text|1_"/>
    <w:basedOn w:val="10"/>
    <w:link w:val="17"/>
    <w:qFormat/>
    <w:uiPriority w:val="0"/>
    <w:rPr>
      <w:rFonts w:ascii="宋体" w:hAnsi="宋体" w:eastAsia="宋体" w:cs="宋体"/>
      <w:color w:val="000000"/>
      <w:sz w:val="24"/>
      <w:szCs w:val="24"/>
      <w:lang w:val="zh-TW" w:eastAsia="zh-TW" w:bidi="zh-TW"/>
    </w:rPr>
  </w:style>
  <w:style w:type="paragraph" w:customStyle="1" w:styleId="17">
    <w:name w:val="Body text|1"/>
    <w:basedOn w:val="1"/>
    <w:link w:val="16"/>
    <w:qFormat/>
    <w:uiPriority w:val="0"/>
    <w:pPr>
      <w:spacing w:line="480" w:lineRule="auto"/>
      <w:ind w:firstLine="400"/>
      <w:jc w:val="left"/>
    </w:pPr>
    <w:rPr>
      <w:rFonts w:ascii="宋体" w:hAnsi="宋体" w:eastAsia="宋体" w:cs="宋体"/>
      <w:color w:val="000000"/>
      <w:kern w:val="0"/>
      <w:sz w:val="24"/>
      <w:szCs w:val="24"/>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BBA22-E9C5-40FC-9374-A3EDC4585C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129</Words>
  <Characters>738</Characters>
  <Lines>6</Lines>
  <Paragraphs>1</Paragraphs>
  <TotalTime>1</TotalTime>
  <ScaleCrop>false</ScaleCrop>
  <LinksUpToDate>false</LinksUpToDate>
  <CharactersWithSpaces>866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2021-03-17T03:22:00Z</dcterms:created>
  <dc:creator>Liangyb</dc:creator>
  <cp:lastModifiedBy>迪</cp:lastModifiedBy>
  <dcterms:modified xsi:type="dcterms:W3CDTF">2022-03-02T08:47:33Z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FC85A684DFA1430CB6FAB7D7866D1A56</vt:lpwstr>
  </property>
</Properties>
</file>